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 xmlns:v="urn:schemas-microsoft-com:vml" xmlns:o="urn:schemas-microsoft-com:office:office">
  <w:body>
    <w:p>
      <w:pPr>
        <w:pStyle w:val="Heading1"/>
      </w:pPr>
      <w:r>
        <w:t>智慧食堂与信立国际汇展中心联动介绍</w:t>
      </w:r>
    </w:p>
    <w:p>
      <w:pPr>
        <w:pStyle w:val="Heading2"/>
      </w:pPr>
      <w:r>
        <w:t>信立鲜享大食堂——市场内的商务会客厅</w:t>
      </w:r>
    </w:p>
    <w:p>
      <w:pPr>
        <w:pStyle w:val="Heading3"/>
      </w:pPr>
      <w:r>
        <w:t>定位</w:t>
      </w:r>
    </w:p>
    <w:p>
      <w:r>
        <w:t>定位为社区大食堂，不做大众快餐、不做低价竞争、不靠补贴引流，专注服务四类核心客群：</w:t>
      </w:r>
    </w:p>
    <w:p>
      <w:pPr>
        <w:numPr>
          <w:ilvl w:val="0"/>
          <w:numId w:val="2"/>
        </w:numPr>
      </w:pPr>
      <w:r>
        <w:t>市场档口老板及管理层</w:t>
      </w:r>
    </w:p>
    <w:p>
      <w:pPr>
        <w:numPr>
          <w:ilvl w:val="0"/>
          <w:numId w:val="2"/>
        </w:numPr>
      </w:pPr>
      <w:r>
        <w:t>外来采购商与团餐公司</w:t>
      </w:r>
    </w:p>
    <w:p>
      <w:pPr>
        <w:numPr>
          <w:ilvl w:val="0"/>
          <w:numId w:val="2"/>
        </w:numPr>
      </w:pPr>
      <w:r>
        <w:t>核心群体是午餐的快消群体</w:t>
      </w:r>
    </w:p>
    <w:p>
      <w:pPr>
        <w:pStyle w:val="Heading3"/>
      </w:pPr>
      <w:r>
        <w:t>运营模式</w:t>
      </w:r>
    </w:p>
    <w:p>
      <w:r>
        <w:t>由信立实业与国内知名团餐企业鸿骏膳食合作运营，鸿骏负责日常运营，公司行使监督权和收益提成权。</w:t>
      </w:r>
    </w:p>
    <w:p>
      <w:r>
        <w:t>原则：干净、稳定、体面、不油腻，不做路边摊口味。</w:t>
      </w:r>
    </w:p>
    <w:p>
      <w:pPr>
        <w:pStyle w:val="Heading2"/>
      </w:pPr>
      <w:r>
        <w:t>信立国际汇展中心——365天永不落幕的农批展会</w:t>
      </w:r>
    </w:p>
    <w:p>
      <w:pPr>
        <w:pStyle w:val="Heading3"/>
      </w:pPr>
      <w:r>
        <w:t>定位</w:t>
      </w:r>
    </w:p>
    <w:p>
      <w:r>
        <w:t>以暖橙色弧形门头为核心视觉，现代简约风格，全天候开放。集展示、交易、招商于一体的一站式集采中心。</w:t>
      </w:r>
    </w:p>
    <w:p>
      <w:pPr>
        <w:pStyle w:val="Heading3"/>
      </w:pPr>
      <w:r>
        <w:t>核心价值</w:t>
      </w:r>
    </w:p>
    <w:p>
      <w:pPr>
        <w:numPr>
          <w:ilvl w:val="0"/>
          <w:numId w:val="2"/>
        </w:numPr>
      </w:pPr>
      <w:r>
        <w:rPr>
          <w:b/>
        </w:rPr>
        <w:t>全渠道采购直通</w:t>
      </w:r>
      <w:r>
        <w:t>：直连学校、工厂、机关、医院等大型团餐集团，稳定大宗订单</w:t>
      </w:r>
    </w:p>
    <w:p>
      <w:pPr>
        <w:numPr>
          <w:ilvl w:val="0"/>
          <w:numId w:val="2"/>
        </w:numPr>
      </w:pPr>
      <w:r>
        <w:rPr>
          <w:b/>
        </w:rPr>
        <w:t>线上平台直通</w:t>
      </w:r>
      <w:r>
        <w:t>：对接美团快驴、饿了么、社区团购等采购系统</w:t>
      </w:r>
    </w:p>
    <w:p>
      <w:pPr>
        <w:numPr>
          <w:ilvl w:val="0"/>
          <w:numId w:val="2"/>
        </w:numPr>
      </w:pPr>
      <w:r>
        <w:rPr>
          <w:b/>
        </w:rPr>
        <w:t>餐饮连锁直采</w:t>
      </w:r>
      <w:r>
        <w:t>：覆盖大湾区餐饮门店、酒店、商超、连锁品牌</w:t>
      </w:r>
    </w:p>
    <w:p>
      <w:pPr>
        <w:numPr>
          <w:ilvl w:val="0"/>
          <w:numId w:val="2"/>
        </w:numPr>
      </w:pPr>
      <w:r>
        <w:rPr>
          <w:b/>
        </w:rPr>
        <w:t>全国分销网络</w:t>
      </w:r>
      <w:r>
        <w:t>：汇聚珠三角二级批发商，现场招商洽谈</w:t>
      </w:r>
    </w:p>
    <w:p>
      <w:pPr>
        <w:pStyle w:val="Heading3"/>
      </w:pPr>
      <w:r>
        <w:t>招商品类（20项）</w:t>
      </w:r>
    </w:p>
    <w:p>
      <w:r>
        <w:t>精品大米/杂粮类、优质食用油类、新鲜蛋类、鲜肉/冻品展示类、水产海鲜类、时令蔬菜类、新鲜水果类、豆制品类、面制品/粉干类、调味品/酱料类、腊味/腌制品类、预制菜/半成品菜类、休闲食品/干货类、酒水饮料类、乳制品/早餐类、烘焙/面点类、地方农特产品类、禽肉类、速冻食品类、餐饮配套食材类</w:t>
      </w:r>
    </w:p>
    <w:p>
      <w:pPr>
        <w:pStyle w:val="Heading3"/>
      </w:pPr>
      <w:r>
        <w:t>入驻政策</w:t>
      </w:r>
    </w:p>
    <w:p>
      <w:r>
        <w:t>限量100家优质品牌商户，首批30家享3个月免租金+免物业费，零成本入驻。</w:t>
      </w:r>
    </w:p>
    <w:p>
      <w:pPr>
        <w:pStyle w:val="Heading2"/>
      </w:pPr>
      <w:r>
        <w:t>智慧食堂与展厅联动场景</w:t>
      </w:r>
    </w:p>
    <w:p>
      <w:r>
        <w:t>二者互为流量入口和价值延伸，形成高效场内闭环：</w:t>
      </w:r>
    </w:p>
    <w:p>
      <w:r>
        <w:rPr>
          <w:b/>
        </w:rPr>
        <w:t>场景一——采购商来访</w:t>
      </w:r>
      <w:r>
        <w:t xml:space="preserve"> 采购商抵达后先在汇展中心参观选品，随后移步鲜享大食堂参观，展示区陈列同款样品，休闲座谈，轻松促成合作。</w:t>
      </w:r>
    </w:p>
    <w:p>
      <w:r>
        <w:rPr>
          <w:b/>
        </w:rPr>
        <w:t>场景二——商户接待客户</w:t>
      </w:r>
      <w:r>
        <w:t xml:space="preserve"> 档口老板带重要客户到食堂包间用餐洽谈，饭后引至展厅实地看样促成交，不出市场、不用找车位、不耽误生意。</w:t>
      </w:r>
    </w:p>
    <w:p>
      <w:pPr>
        <w:pStyle w:val="Heading2"/>
      </w:pPr>
      <w:r>
        <w:t>"铁三角"商业生态</w:t>
      </w:r>
    </w:p>
    <w:p>
      <w:r>
        <w:t>三者构成"前展中餐后仓"的完整闭环：</w:t>
      </w:r>
    </w:p>
    <w:tbl>
      <w:tblPr>
        <w:tblW w:w="9026" w:type="dxa"/>
        <w:tblLayout w:type="fixed"/>
      </w:tblPr>
      <w:tblGrid>
        <w:gridCol w:w="9026"/>
      </w:tblGrid>
      <w:tr>
        <w:tc>
          <w:tcPr>
            <w:tcW w:w="9026" w:type="dxa"/>
            <w:shd w:val="clear" w:color="auto" w:fill="F1F9FE"/>
            <w:tcMar>
              <w:top w:w="140" w:type="dxa"/>
              <w:left w:w="180" w:type="dxa"/>
              <w:bottom w:w="140" w:type="dxa"/>
              <w:right w:w="180" w:type="dxa"/>
            </w:tcMar>
          </w:tcPr>
          <w:p>
            <w:r>
              <w:rPr>
                <w:b/>
              </w:rPr>
              <w:t>汇展中心（展厅）→ 品牌展示与流量导入</w:t>
            </w:r>
          </w:p>
          <w:p>
            <w:r>
              <w:rPr>
                <w:b/>
              </w:rPr>
              <w:t>↓</w:t>
            </w:r>
          </w:p>
          <w:p>
            <w:r>
              <w:rPr>
                <w:b/>
              </w:rPr>
              <w:t>鲜享大食堂（智慧食堂）→ 商务洽谈与品鉴体验</w:t>
            </w:r>
          </w:p>
          <w:p>
            <w:r>
              <w:rPr>
                <w:b/>
              </w:rPr>
              <w:t>↓</w:t>
            </w:r>
          </w:p>
          <w:p>
            <w:r>
              <w:rPr>
                <w:b/>
              </w:rPr>
              <w:t>电仓配运营中心 → 云仓管理 + 分拣配送 + 履约交付</w:t>
            </w:r>
          </w:p>
        </w:tc>
      </w:tr>
    </w:tbl>
    <w:p>
      <w:r>
        <w:t>信立从中获得展厅租金、食堂消费、后端服务费、交易佣金等多元收益，真正实现从"靠空间收租"到"靠服务增值"的转型升级。</w:t>
      </w:r>
    </w:p>
    <w:sectPr>
      <w:pgSz w:w="11906" w:h="16838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%5."/>
      <w:lvlJc w:val="left"/>
      <w:pPr>
        <w:ind w:left="1800" w:hanging="360"/>
      </w:pPr>
    </w:lvl>
    <w:lvl w:ilvl="5">
      <w:start w:val="1"/>
      <w:numFmt w:val="lowerRoman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lvl w:ilvl="0">
      <w:start w:val="1"/>
      <w:numFmt w:val="bullet"/>
      <w:lvlText w:val="•"/>
      <w:lvlJc w:val="left"/>
      <w:pPr>
        <w:ind w:left="360" w:hanging="360"/>
      </w:pPr>
    </w:lvl>
    <w:lvl w:ilvl="1">
      <w:start w:val="1"/>
      <w:numFmt w:val="bullet"/>
      <w:lvlText w:val="◦"/>
      <w:lvlJc w:val="left"/>
      <w:pPr>
        <w:ind w:left="720" w:hanging="360"/>
      </w:pPr>
    </w:lvl>
    <w:lvl w:ilvl="2">
      <w:start w:val="1"/>
      <w:numFmt w:val="bullet"/>
      <w:lvlText w:val="▪"/>
      <w:lvlJc w:val="left"/>
      <w:pPr>
        <w:ind w:left="1080" w:hanging="360"/>
      </w:pPr>
    </w:lvl>
    <w:lvl w:ilvl="3">
      <w:start w:val="1"/>
      <w:numFmt w:val="bullet"/>
      <w:lvlText w:val="•"/>
      <w:lvlJc w:val="left"/>
      <w:pPr>
        <w:ind w:left="1440" w:hanging="360"/>
      </w:pPr>
    </w:lvl>
    <w:lvl w:ilvl="4">
      <w:start w:val="1"/>
      <w:numFmt w:val="bullet"/>
      <w:lvlText w:val="◦"/>
      <w:lvlJc w:val="left"/>
      <w:pPr>
        <w:ind w:left="1800" w:hanging="360"/>
      </w:pPr>
    </w:lvl>
    <w:lvl w:ilvl="5">
      <w:start w:val="1"/>
      <w:numFmt w:val="bullet"/>
      <w:lvlText w:val="▪"/>
      <w:lvlJc w:val="left"/>
      <w:pPr>
        <w:ind w:left="2160" w:hanging="360"/>
      </w:pPr>
    </w:lvl>
    <w:lvl w:ilvl="6">
      <w:start w:val="1"/>
      <w:numFmt w:val="bullet"/>
      <w:lvlText w:val="•"/>
      <w:lvlJc w:val="left"/>
      <w:pPr>
        <w:ind w:left="2520" w:hanging="360"/>
      </w:pPr>
    </w:lvl>
    <w:lvl w:ilvl="7">
      <w:start w:val="1"/>
      <w:numFmt w:val="bullet"/>
      <w:lvlText w:val="◦"/>
      <w:lvlJc w:val="left"/>
      <w:pPr>
        <w:ind w:left="2880" w:hanging="360"/>
      </w:pPr>
    </w:lvl>
    <w:lvl w:ilvl="8">
      <w:start w:val="1"/>
      <w:numFmt w:val="bullet"/>
      <w:lvlText w:val="▪"/>
      <w:lvlJc w:val="left"/>
      <w:pPr>
        <w:ind w:left="3240" w:hanging="360"/>
      </w:pPr>
    </w:lvl>
  </w:abstractNum>
  <w:abstractNum w:abstractNumId="2">
    <w:lvl w:ilvl="0">
      <w:start w:val="1"/>
      <w:numFmt w:val="bullet"/>
      <w:lvlText w:val="☐"/>
      <w:lvlJc w:val="left"/>
      <w:pPr>
        <w:ind w:left="360" w:hanging="360"/>
      </w:pPr>
      <w:rPr>
        <w:rFonts w:ascii="MS Gothic" w:hAnsi="MS Gothic" w:hint="default"/>
      </w:rPr>
    </w:lvl>
    <w:lvl w:ilvl="1">
      <w:start w:val="1"/>
      <w:numFmt w:val="bullet"/>
      <w:lvlText w:val="☐"/>
      <w:lvlJc w:val="left"/>
      <w:pPr>
        <w:ind w:left="720" w:hanging="360"/>
      </w:pPr>
      <w:rPr>
        <w:rFonts w:ascii="MS Gothic" w:hAnsi="MS Gothic" w:hint="default"/>
      </w:rPr>
    </w:lvl>
    <w:lvl w:ilvl="2">
      <w:start w:val="1"/>
      <w:numFmt w:val="bullet"/>
      <w:lvlText w:val="☐"/>
      <w:lvlJc w:val="left"/>
      <w:pPr>
        <w:ind w:left="1080" w:hanging="360"/>
      </w:pPr>
      <w:rPr>
        <w:rFonts w:ascii="MS Gothic" w:hAnsi="MS Gothic" w:hint="default"/>
      </w:rPr>
    </w:lvl>
    <w:lvl w:ilvl="3">
      <w:start w:val="1"/>
      <w:numFmt w:val="bullet"/>
      <w:lvlText w:val="☐"/>
      <w:lvlJc w:val="left"/>
      <w:pPr>
        <w:ind w:left="1440" w:hanging="360"/>
      </w:pPr>
      <w:rPr>
        <w:rFonts w:ascii="MS Gothic" w:hAnsi="MS Gothic" w:hint="default"/>
      </w:rPr>
    </w:lvl>
    <w:lvl w:ilvl="4">
      <w:start w:val="1"/>
      <w:numFmt w:val="bullet"/>
      <w:lvlText w:val="☐"/>
      <w:lvlJc w:val="left"/>
      <w:pPr>
        <w:ind w:left="1800" w:hanging="360"/>
      </w:pPr>
      <w:rPr>
        <w:rFonts w:ascii="MS Gothic" w:hAnsi="MS Gothic" w:hint="default"/>
      </w:rPr>
    </w:lvl>
    <w:lvl w:ilvl="5">
      <w:start w:val="1"/>
      <w:numFmt w:val="bullet"/>
      <w:lvlText w:val="☐"/>
      <w:lvlJc w:val="left"/>
      <w:pPr>
        <w:ind w:left="2160" w:hanging="360"/>
      </w:pPr>
      <w:rPr>
        <w:rFonts w:ascii="MS Gothic" w:hAnsi="MS Gothic" w:hint="default"/>
      </w:rPr>
    </w:lvl>
    <w:lvl w:ilvl="6">
      <w:start w:val="1"/>
      <w:numFmt w:val="bullet"/>
      <w:lvlText w:val="☐"/>
      <w:lvlJc w:val="left"/>
      <w:pPr>
        <w:ind w:left="2520" w:hanging="360"/>
      </w:pPr>
      <w:rPr>
        <w:rFonts w:ascii="MS Gothic" w:hAnsi="MS Gothic" w:hint="default"/>
      </w:rPr>
    </w:lvl>
    <w:lvl w:ilvl="7">
      <w:start w:val="1"/>
      <w:numFmt w:val="bullet"/>
      <w:lvlText w:val="☐"/>
      <w:lvlJc w:val="left"/>
      <w:pPr>
        <w:ind w:left="2880" w:hanging="360"/>
      </w:pPr>
      <w:rPr>
        <w:rFonts w:ascii="MS Gothic" w:hAnsi="MS Gothic" w:hint="default"/>
      </w:rPr>
    </w:lvl>
    <w:lvl w:ilvl="8">
      <w:start w:val="1"/>
      <w:numFmt w:val="bullet"/>
      <w:lvlText w:val="☐"/>
      <w:lvlJc w:val="left"/>
      <w:pPr>
        <w:ind w:left="3240" w:hanging="360"/>
      </w:pPr>
      <w:rPr>
        <w:rFonts w:ascii="MS Gothic" w:hAnsi="MS Gothic" w:hint="default"/>
      </w:rPr>
    </w:lvl>
  </w:abstractNum>
  <w:abstractNum w:abstractNumId="3">
    <w:lvl w:ilvl="0">
      <w:start w:val="1"/>
      <w:numFmt w:val="bullet"/>
      <w:lvlText w:val="☑"/>
      <w:lvlJc w:val="left"/>
      <w:pPr>
        <w:ind w:left="360" w:hanging="360"/>
      </w:pPr>
      <w:rPr>
        <w:rFonts w:ascii="MS Gothic" w:hAnsi="MS Gothic" w:hint="default"/>
      </w:rPr>
    </w:lvl>
    <w:lvl w:ilvl="1">
      <w:start w:val="1"/>
      <w:numFmt w:val="bullet"/>
      <w:lvlText w:val="☑"/>
      <w:lvlJc w:val="left"/>
      <w:pPr>
        <w:ind w:left="720" w:hanging="360"/>
      </w:pPr>
      <w:rPr>
        <w:rFonts w:ascii="MS Gothic" w:hAnsi="MS Gothic" w:hint="default"/>
      </w:rPr>
    </w:lvl>
    <w:lvl w:ilvl="2">
      <w:start w:val="1"/>
      <w:numFmt w:val="bullet"/>
      <w:lvlText w:val="☑"/>
      <w:lvlJc w:val="left"/>
      <w:pPr>
        <w:ind w:left="1080" w:hanging="360"/>
      </w:pPr>
      <w:rPr>
        <w:rFonts w:ascii="MS Gothic" w:hAnsi="MS Gothic" w:hint="default"/>
      </w:rPr>
    </w:lvl>
    <w:lvl w:ilvl="3">
      <w:start w:val="1"/>
      <w:numFmt w:val="bullet"/>
      <w:lvlText w:val="☑"/>
      <w:lvlJc w:val="left"/>
      <w:pPr>
        <w:ind w:left="1440" w:hanging="360"/>
      </w:pPr>
      <w:rPr>
        <w:rFonts w:ascii="MS Gothic" w:hAnsi="MS Gothic" w:hint="default"/>
      </w:rPr>
    </w:lvl>
    <w:lvl w:ilvl="4">
      <w:start w:val="1"/>
      <w:numFmt w:val="bullet"/>
      <w:lvlText w:val="☑"/>
      <w:lvlJc w:val="left"/>
      <w:pPr>
        <w:ind w:left="1800" w:hanging="360"/>
      </w:pPr>
      <w:rPr>
        <w:rFonts w:ascii="MS Gothic" w:hAnsi="MS Gothic" w:hint="default"/>
      </w:rPr>
    </w:lvl>
    <w:lvl w:ilvl="5">
      <w:start w:val="1"/>
      <w:numFmt w:val="bullet"/>
      <w:lvlText w:val="☑"/>
      <w:lvlJc w:val="left"/>
      <w:pPr>
        <w:ind w:left="2160" w:hanging="360"/>
      </w:pPr>
      <w:rPr>
        <w:rFonts w:ascii="MS Gothic" w:hAnsi="MS Gothic" w:hint="default"/>
      </w:rPr>
    </w:lvl>
    <w:lvl w:ilvl="6">
      <w:start w:val="1"/>
      <w:numFmt w:val="bullet"/>
      <w:lvlText w:val="☑"/>
      <w:lvlJc w:val="left"/>
      <w:pPr>
        <w:ind w:left="2520" w:hanging="360"/>
      </w:pPr>
      <w:rPr>
        <w:rFonts w:ascii="MS Gothic" w:hAnsi="MS Gothic" w:hint="default"/>
      </w:rPr>
    </w:lvl>
    <w:lvl w:ilvl="7">
      <w:start w:val="1"/>
      <w:numFmt w:val="bullet"/>
      <w:lvlText w:val="☑"/>
      <w:lvlJc w:val="left"/>
      <w:pPr>
        <w:ind w:left="2880" w:hanging="360"/>
      </w:pPr>
      <w:rPr>
        <w:rFonts w:ascii="MS Gothic" w:hAnsi="MS Gothic" w:hint="default"/>
      </w:rPr>
    </w:lvl>
    <w:lvl w:ilvl="8">
      <w:start w:val="1"/>
      <w:numFmt w:val="bullet"/>
      <w:lvlText w:val="☑"/>
      <w:lvlJc w:val="left"/>
      <w:pPr>
        <w:ind w:left="3240" w:hanging="360"/>
      </w:pPr>
      <w:rPr>
        <w:rFonts w:ascii="MS Gothic" w:hAnsi="MS Gothic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efaultTabStop w:val="420"/>
  <w:compat>
    <w:compatSetting w:name="compatibilityMode" w:uri="http://schemas.microsoft.com/office/word" w:val="15"/>
  </w:compat>
  <w:themeFontLang w:val="en-US" w:eastAsia="zh-CN"/>
</w:settings>
</file>

<file path=word/styles.xml><?xml version="1.0" encoding="utf-8"?>
<w:styles xmlns:w="http://schemas.openxmlformats.org/wordprocessingml/2006/main">
  <w:docDefaults>
    <w:rPrDefault>
      <w:rPr>
        <w:rFonts w:ascii="minorHAnsi" w:hAnsi="minorHAnsi" w:eastAsia="minorEastAsia" w:cstheme="minorBidi"/>
        <w:color w:val="333333"/>
        <w:kern w:val="2"/>
        <w:sz w:val="22"/>
        <w:szCs w:val="22"/>
      </w:rPr>
    </w:rPrDefault>
    <w:pPrDefault>
      <w:pPr>
        <w:snapToGrid w:val="false"/>
        <w:spacing w:before="60" w:after="60" w:line="312" w:lineRule="auto"/>
      </w:pPr>
    </w:pPrDefault>
  </w:docDefaults>
  <w:style w:type="paragraph" w:default="1" w:styleId="Normal">
    <w:name w:val="Normal"/>
  </w:style>
  <w:style w:type="paragraph" w:styleId="Heading1">
    <w:name w:val="heading 1"/>
    <w:basedOn w:val="Normal"/>
    <w:next w:val="Normal"/>
    <w:qFormat/>
    <w:pPr>
      <w:outlineLvl w:val="0"/>
      <w:spacing w:before="265" w:after="142"/>
    </w:pPr>
    <w:rPr>
      <w:b/>
      <w:sz w:val="36"/>
      <w:szCs w:val="36"/>
    </w:rPr>
  </w:style>
  <w:style w:type="paragraph" w:styleId="Heading2">
    <w:name w:val="heading 2"/>
    <w:basedOn w:val="Normal"/>
    <w:next w:val="Normal"/>
    <w:qFormat/>
    <w:pPr>
      <w:outlineLvl w:val="1"/>
      <w:spacing w:before="230" w:after="124"/>
    </w:pPr>
    <w:rPr>
      <w:b/>
      <w:sz w:val="32"/>
      <w:szCs w:val="32"/>
    </w:rPr>
  </w:style>
  <w:style w:type="paragraph" w:styleId="Heading3">
    <w:name w:val="heading 3"/>
    <w:basedOn w:val="Normal"/>
    <w:next w:val="Normal"/>
    <w:qFormat/>
    <w:pPr>
      <w:outlineLvl w:val="2"/>
      <w:spacing w:before="195" w:after="106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outlineLvl w:val="3"/>
      <w:spacing w:before="160" w:after="88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outlineLvl w:val="4"/>
      <w:spacing w:before="125" w:after="70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outlineLvl w:val="5"/>
      <w:spacing w:before="90" w:after="52"/>
    </w:pPr>
    <w:rPr>
      <w:b/>
      <w:sz w:val="20"/>
      <w:szCs w:val="20"/>
    </w:rPr>
  </w:style>
  <w:style w:type="character" w:styleId="Hyperlink">
    <w:name w:val="Hyperlink"/>
    <w:rPr>
      <w:color w:val="0563C1"/>
      <w:u w:val="single"/>
    </w:rPr>
  </w:style>
  <w:style w:type="character" w:styleId="CommentReference">
    <w:name w:val="annotation reference"/>
    <w:rPr>
      <w:sz w:val="16"/>
      <w:szCs w:val="1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smartcanvas-export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三、智慧食堂与展厅联动</dc:title>
  <dc:creator>smartcanvas-export</dc:creator>
</cp:coreProperties>
</file>